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C5432" w14:textId="77777777" w:rsidR="00EC03A7" w:rsidRPr="00EC03A7" w:rsidRDefault="00EC03A7" w:rsidP="00EC03A7">
      <w:pPr>
        <w:shd w:val="clear" w:color="auto" w:fill="FFFFFF"/>
        <w:spacing w:after="120"/>
        <w:outlineLvl w:val="0"/>
        <w:rPr>
          <w:rFonts w:ascii="Georgia" w:eastAsia="Times New Roman" w:hAnsi="Georgia" w:cs="Times New Roman"/>
          <w:b/>
          <w:bCs/>
          <w:color w:val="323A45"/>
          <w:kern w:val="36"/>
          <w:sz w:val="48"/>
          <w:szCs w:val="48"/>
        </w:rPr>
      </w:pPr>
      <w:r w:rsidRPr="00EC03A7">
        <w:rPr>
          <w:rFonts w:ascii="Georgia" w:eastAsia="Times New Roman" w:hAnsi="Georgia" w:cs="Times New Roman"/>
          <w:b/>
          <w:bCs/>
          <w:color w:val="323A45"/>
          <w:kern w:val="36"/>
          <w:sz w:val="48"/>
          <w:szCs w:val="48"/>
        </w:rPr>
        <w:t>VA Survivors Pension benefit rates</w:t>
      </w:r>
    </w:p>
    <w:p w14:paraId="4516E73E" w14:textId="30100B06" w:rsidR="00EC03A7" w:rsidRPr="00EC03A7" w:rsidRDefault="00EC03A7" w:rsidP="00EC03A7">
      <w:pPr>
        <w:shd w:val="clear" w:color="auto" w:fill="FFFFFF"/>
        <w:spacing w:after="240"/>
        <w:rPr>
          <w:rFonts w:ascii="Georgia" w:eastAsia="Times New Roman" w:hAnsi="Georgia" w:cs="Times New Roman"/>
          <w:color w:val="323A45"/>
          <w:sz w:val="24"/>
          <w:szCs w:val="24"/>
        </w:rPr>
      </w:pPr>
      <w:r w:rsidRPr="00EC03A7">
        <w:rPr>
          <w:rFonts w:ascii="Georgia" w:eastAsia="Times New Roman" w:hAnsi="Georgia" w:cs="Times New Roman"/>
          <w:color w:val="323A45"/>
          <w:sz w:val="24"/>
          <w:szCs w:val="24"/>
        </w:rPr>
        <w:t>If you qualify for this benefit as a surviving spouse, we’ll base your payment amount on the difference between your countable income and a limit that Congress sets (called the Maximum Annual Pension Rate, or MAPR).</w:t>
      </w:r>
    </w:p>
    <w:p w14:paraId="1AB210A4" w14:textId="77777777" w:rsidR="00EC03A7" w:rsidRPr="00EC03A7" w:rsidRDefault="00EC03A7" w:rsidP="00EC03A7">
      <w:pPr>
        <w:numPr>
          <w:ilvl w:val="0"/>
          <w:numId w:val="1"/>
        </w:numPr>
        <w:shd w:val="clear" w:color="auto" w:fill="FFFFFF"/>
        <w:spacing w:after="240"/>
        <w:rPr>
          <w:rFonts w:ascii="Source Sans Pro" w:eastAsia="Times New Roman" w:hAnsi="Source Sans Pro" w:cs="Times New Roman"/>
          <w:color w:val="323A45"/>
          <w:sz w:val="24"/>
          <w:szCs w:val="24"/>
        </w:rPr>
      </w:pPr>
      <w:r w:rsidRPr="00EC03A7">
        <w:rPr>
          <w:rFonts w:ascii="Source Sans Pro" w:eastAsia="Times New Roman" w:hAnsi="Source Sans Pro" w:cs="Times New Roman"/>
          <w:b/>
          <w:bCs/>
          <w:color w:val="323A45"/>
          <w:sz w:val="24"/>
          <w:szCs w:val="24"/>
        </w:rPr>
        <w:t>Your countable income</w:t>
      </w:r>
      <w:r w:rsidRPr="00EC03A7">
        <w:rPr>
          <w:rFonts w:ascii="Source Sans Pro" w:eastAsia="Times New Roman" w:hAnsi="Source Sans Pro" w:cs="Times New Roman"/>
          <w:color w:val="323A45"/>
          <w:sz w:val="24"/>
          <w:szCs w:val="24"/>
        </w:rPr>
        <w:t> is how much you earn, including your salary, investment and retirement payments, and any income you may have from your dependents. Some expenses, like non-reimbursable medical expenses (paid medical expenses not covered by your insurance provider), may reduce your countable income.</w:t>
      </w:r>
    </w:p>
    <w:p w14:paraId="3C351242" w14:textId="0FC83E2A" w:rsidR="00EC03A7" w:rsidRPr="00EC03A7" w:rsidRDefault="00EC03A7" w:rsidP="00EC03A7">
      <w:pPr>
        <w:numPr>
          <w:ilvl w:val="0"/>
          <w:numId w:val="1"/>
        </w:numPr>
        <w:shd w:val="clear" w:color="auto" w:fill="FFFFFF"/>
        <w:spacing w:after="240"/>
        <w:rPr>
          <w:rFonts w:ascii="Source Sans Pro" w:eastAsia="Times New Roman" w:hAnsi="Source Sans Pro" w:cs="Times New Roman"/>
          <w:color w:val="323A45"/>
          <w:sz w:val="24"/>
          <w:szCs w:val="24"/>
        </w:rPr>
      </w:pPr>
      <w:r w:rsidRPr="00EC03A7">
        <w:rPr>
          <w:rFonts w:ascii="Source Sans Pro" w:eastAsia="Times New Roman" w:hAnsi="Source Sans Pro" w:cs="Times New Roman"/>
          <w:b/>
          <w:bCs/>
          <w:color w:val="323A45"/>
          <w:sz w:val="24"/>
          <w:szCs w:val="24"/>
        </w:rPr>
        <w:t>Your MAPR amount</w:t>
      </w:r>
      <w:r w:rsidRPr="00EC03A7">
        <w:rPr>
          <w:rFonts w:ascii="Source Sans Pro" w:eastAsia="Times New Roman" w:hAnsi="Source Sans Pro" w:cs="Times New Roman"/>
          <w:color w:val="323A45"/>
          <w:sz w:val="24"/>
          <w:szCs w:val="24"/>
        </w:rPr>
        <w:t> is the maximum amount of pension payable to a</w:t>
      </w:r>
      <w:r>
        <w:rPr>
          <w:rFonts w:ascii="Source Sans Pro" w:eastAsia="Times New Roman" w:hAnsi="Source Sans Pro" w:cs="Times New Roman"/>
          <w:color w:val="323A45"/>
          <w:sz w:val="24"/>
          <w:szCs w:val="24"/>
        </w:rPr>
        <w:t xml:space="preserve"> </w:t>
      </w:r>
      <w:r w:rsidRPr="00EC03A7">
        <w:rPr>
          <w:rFonts w:ascii="Source Sans Pro" w:eastAsia="Times New Roman" w:hAnsi="Source Sans Pro" w:cs="Times New Roman"/>
          <w:color w:val="323A45"/>
          <w:sz w:val="24"/>
          <w:szCs w:val="24"/>
        </w:rPr>
        <w:t xml:space="preserve">surviving spouse. </w:t>
      </w:r>
      <w:bookmarkStart w:id="0" w:name="_GoBack"/>
      <w:bookmarkEnd w:id="0"/>
      <w:r w:rsidRPr="00EC03A7">
        <w:rPr>
          <w:rFonts w:ascii="Source Sans Pro" w:eastAsia="Times New Roman" w:hAnsi="Source Sans Pro" w:cs="Times New Roman"/>
          <w:color w:val="323A45"/>
          <w:sz w:val="24"/>
          <w:szCs w:val="24"/>
        </w:rPr>
        <w:t>MAPRs are adjusted each year for cost-of-living increases. You can find your current MAPR amount below.</w:t>
      </w:r>
    </w:p>
    <w:p w14:paraId="52AF91E5" w14:textId="77777777" w:rsidR="00EC03A7" w:rsidRPr="00EC03A7" w:rsidRDefault="00EC03A7" w:rsidP="00EC03A7">
      <w:pPr>
        <w:shd w:val="clear" w:color="auto" w:fill="FFFFFF"/>
        <w:spacing w:before="360" w:after="120"/>
        <w:outlineLvl w:val="1"/>
        <w:rPr>
          <w:rFonts w:ascii="Georgia" w:eastAsia="Times New Roman" w:hAnsi="Georgia" w:cs="Times New Roman"/>
          <w:b/>
          <w:bCs/>
          <w:color w:val="323A45"/>
          <w:sz w:val="36"/>
          <w:szCs w:val="36"/>
        </w:rPr>
      </w:pPr>
      <w:r w:rsidRPr="00EC03A7">
        <w:rPr>
          <w:rFonts w:ascii="Georgia" w:eastAsia="Times New Roman" w:hAnsi="Georgia" w:cs="Times New Roman"/>
          <w:b/>
          <w:bCs/>
          <w:color w:val="323A45"/>
          <w:sz w:val="36"/>
          <w:szCs w:val="36"/>
        </w:rPr>
        <w:t>What’s the net worth limit to qualify for a Survivors Pension?</w:t>
      </w:r>
    </w:p>
    <w:p w14:paraId="347CEB83" w14:textId="1A09AD35" w:rsidR="00EC03A7" w:rsidRPr="00EC03A7" w:rsidRDefault="00EC03A7" w:rsidP="00EC03A7">
      <w:pPr>
        <w:shd w:val="clear" w:color="auto" w:fill="FFFFFF"/>
        <w:spacing w:after="240"/>
        <w:rPr>
          <w:rFonts w:ascii="Source Sans Pro" w:eastAsia="Times New Roman" w:hAnsi="Source Sans Pro" w:cs="Times New Roman"/>
          <w:color w:val="323A45"/>
          <w:sz w:val="24"/>
          <w:szCs w:val="24"/>
        </w:rPr>
      </w:pPr>
      <w:r w:rsidRPr="00EC03A7">
        <w:rPr>
          <w:rFonts w:ascii="Source Sans Pro" w:eastAsia="Times New Roman" w:hAnsi="Source Sans Pro" w:cs="Times New Roman"/>
          <w:color w:val="323A45"/>
          <w:sz w:val="24"/>
          <w:szCs w:val="24"/>
        </w:rPr>
        <w:t>We’ve recently changed the way we assess net worth to make the pension entitlement rules clearer. Net worth is the total of your annual income. You should report all of your net worth. The net worth limit to qualify for a Survivors Pension as of December 1, 2019, is $129,094.</w:t>
      </w:r>
    </w:p>
    <w:p w14:paraId="3763DAF4" w14:textId="77777777" w:rsidR="00EC03A7" w:rsidRPr="00EC03A7" w:rsidRDefault="00EC03A7" w:rsidP="00EC03A7">
      <w:pPr>
        <w:shd w:val="clear" w:color="auto" w:fill="FFFFFF"/>
        <w:spacing w:after="240"/>
        <w:rPr>
          <w:rFonts w:ascii="Source Sans Pro" w:eastAsia="Times New Roman" w:hAnsi="Source Sans Pro" w:cs="Times New Roman"/>
          <w:color w:val="323A45"/>
          <w:sz w:val="24"/>
          <w:szCs w:val="24"/>
        </w:rPr>
      </w:pPr>
      <w:r w:rsidRPr="00EC03A7">
        <w:rPr>
          <w:rFonts w:ascii="Source Sans Pro" w:eastAsia="Times New Roman" w:hAnsi="Source Sans Pro" w:cs="Times New Roman"/>
          <w:b/>
          <w:bCs/>
          <w:color w:val="323A45"/>
          <w:sz w:val="24"/>
          <w:szCs w:val="24"/>
        </w:rPr>
        <w:t>Note:</w:t>
      </w:r>
      <w:r w:rsidRPr="00EC03A7">
        <w:rPr>
          <w:rFonts w:ascii="Source Sans Pro" w:eastAsia="Times New Roman" w:hAnsi="Source Sans Pro" w:cs="Times New Roman"/>
          <w:color w:val="323A45"/>
          <w:sz w:val="24"/>
          <w:szCs w:val="24"/>
        </w:rPr>
        <w:t> In the future, the net worth limit will increase by the same percentage as Social Security cost-of-living increases. We’ll update the limit here when there’s an increase.</w:t>
      </w:r>
    </w:p>
    <w:p w14:paraId="0CD39EBB" w14:textId="77777777" w:rsidR="00EC03A7" w:rsidRPr="00EC03A7" w:rsidRDefault="00EC03A7" w:rsidP="00EC03A7">
      <w:pPr>
        <w:shd w:val="clear" w:color="auto" w:fill="FFFFFF"/>
        <w:spacing w:before="360" w:after="120"/>
        <w:outlineLvl w:val="1"/>
        <w:rPr>
          <w:rFonts w:ascii="Georgia" w:eastAsia="Times New Roman" w:hAnsi="Georgia" w:cs="Times New Roman"/>
          <w:b/>
          <w:bCs/>
          <w:color w:val="323A45"/>
          <w:sz w:val="36"/>
          <w:szCs w:val="36"/>
        </w:rPr>
      </w:pPr>
      <w:r w:rsidRPr="00EC03A7">
        <w:rPr>
          <w:rFonts w:ascii="Georgia" w:eastAsia="Times New Roman" w:hAnsi="Georgia" w:cs="Times New Roman"/>
          <w:b/>
          <w:bCs/>
          <w:color w:val="323A45"/>
          <w:sz w:val="36"/>
          <w:szCs w:val="36"/>
        </w:rPr>
        <w:t>What’s the 3-year look-back period for asset transfers?</w:t>
      </w:r>
    </w:p>
    <w:p w14:paraId="2D7D287A" w14:textId="77777777" w:rsidR="00EC03A7" w:rsidRPr="00EC03A7" w:rsidRDefault="00EC03A7" w:rsidP="00EC03A7">
      <w:pPr>
        <w:shd w:val="clear" w:color="auto" w:fill="FFFFFF"/>
        <w:spacing w:after="240"/>
        <w:rPr>
          <w:rFonts w:ascii="Source Sans Pro" w:eastAsia="Times New Roman" w:hAnsi="Source Sans Pro" w:cs="Times New Roman"/>
          <w:color w:val="323A45"/>
          <w:sz w:val="24"/>
          <w:szCs w:val="24"/>
        </w:rPr>
      </w:pPr>
      <w:r w:rsidRPr="00EC03A7">
        <w:rPr>
          <w:rFonts w:ascii="Source Sans Pro" w:eastAsia="Times New Roman" w:hAnsi="Source Sans Pro" w:cs="Times New Roman"/>
          <w:color w:val="323A45"/>
          <w:sz w:val="24"/>
          <w:szCs w:val="24"/>
        </w:rPr>
        <w:t>When we receive a pension claim, we review the terms and conditions of any assets the survivor may have transferred in the 3 years before filing the claim.</w:t>
      </w:r>
    </w:p>
    <w:p w14:paraId="3586A12B" w14:textId="77777777" w:rsidR="00EC03A7" w:rsidRPr="00EC03A7" w:rsidRDefault="00EC03A7" w:rsidP="00EC03A7">
      <w:pPr>
        <w:shd w:val="clear" w:color="auto" w:fill="FFFFFF"/>
        <w:spacing w:after="240"/>
        <w:rPr>
          <w:rFonts w:ascii="Source Sans Pro" w:eastAsia="Times New Roman" w:hAnsi="Source Sans Pro" w:cs="Times New Roman"/>
          <w:color w:val="323A45"/>
          <w:sz w:val="24"/>
          <w:szCs w:val="24"/>
        </w:rPr>
      </w:pPr>
      <w:r w:rsidRPr="00EC03A7">
        <w:rPr>
          <w:rFonts w:ascii="Source Sans Pro" w:eastAsia="Times New Roman" w:hAnsi="Source Sans Pro" w:cs="Times New Roman"/>
          <w:color w:val="323A45"/>
          <w:sz w:val="24"/>
          <w:szCs w:val="24"/>
        </w:rPr>
        <w:t>If you transfer assets for less than fair market value during the look-back period, and those assets would've pushed your net worth above the limit for a VA Survivors Pension, you may be subject to a penalty period of up to 5 years. You won’t be eligible for pension benefits during this time.</w:t>
      </w:r>
    </w:p>
    <w:p w14:paraId="08E1C817" w14:textId="77777777" w:rsidR="00EC03A7" w:rsidRPr="00EC03A7" w:rsidRDefault="00EC03A7" w:rsidP="00EC03A7">
      <w:pPr>
        <w:shd w:val="clear" w:color="auto" w:fill="FFFFFF"/>
        <w:spacing w:after="240"/>
        <w:rPr>
          <w:rFonts w:ascii="Source Sans Pro" w:eastAsia="Times New Roman" w:hAnsi="Source Sans Pro" w:cs="Times New Roman"/>
          <w:color w:val="323A45"/>
          <w:sz w:val="24"/>
          <w:szCs w:val="24"/>
        </w:rPr>
      </w:pPr>
      <w:r w:rsidRPr="00EC03A7">
        <w:rPr>
          <w:rFonts w:ascii="Source Sans Pro" w:eastAsia="Times New Roman" w:hAnsi="Source Sans Pro" w:cs="Times New Roman"/>
          <w:b/>
          <w:bCs/>
          <w:color w:val="323A45"/>
          <w:sz w:val="24"/>
          <w:szCs w:val="24"/>
        </w:rPr>
        <w:t>Note:</w:t>
      </w:r>
      <w:r w:rsidRPr="00EC03A7">
        <w:rPr>
          <w:rFonts w:ascii="Source Sans Pro" w:eastAsia="Times New Roman" w:hAnsi="Source Sans Pro" w:cs="Times New Roman"/>
          <w:color w:val="323A45"/>
          <w:sz w:val="24"/>
          <w:szCs w:val="24"/>
        </w:rPr>
        <w:t> This new policy took effect on October 18, 2018. If you filed your claim before this date, the look-back period doesn’t apply. (A look-back period never includes a date before October 18, 2018.)</w:t>
      </w:r>
    </w:p>
    <w:p w14:paraId="2DC4E46A" w14:textId="77777777" w:rsidR="00EC03A7" w:rsidRDefault="00EC03A7" w:rsidP="00EC03A7">
      <w:pPr>
        <w:shd w:val="clear" w:color="auto" w:fill="FFFFFF"/>
        <w:spacing w:before="360" w:after="120"/>
        <w:outlineLvl w:val="1"/>
        <w:rPr>
          <w:rFonts w:ascii="Georgia" w:eastAsia="Times New Roman" w:hAnsi="Georgia" w:cs="Times New Roman"/>
          <w:b/>
          <w:bCs/>
          <w:color w:val="323A45"/>
          <w:sz w:val="36"/>
          <w:szCs w:val="36"/>
        </w:rPr>
      </w:pPr>
    </w:p>
    <w:p w14:paraId="70EC3C30" w14:textId="77777777" w:rsidR="00EC03A7" w:rsidRPr="00EC03A7" w:rsidRDefault="00EC03A7" w:rsidP="00EC03A7">
      <w:pPr>
        <w:shd w:val="clear" w:color="auto" w:fill="FFFFFF"/>
        <w:spacing w:before="360" w:after="120"/>
        <w:outlineLvl w:val="1"/>
        <w:rPr>
          <w:rFonts w:ascii="Georgia" w:eastAsia="Times New Roman" w:hAnsi="Georgia" w:cs="Times New Roman"/>
          <w:b/>
          <w:bCs/>
          <w:color w:val="323A45"/>
          <w:sz w:val="36"/>
          <w:szCs w:val="36"/>
        </w:rPr>
      </w:pPr>
      <w:r w:rsidRPr="00EC03A7">
        <w:rPr>
          <w:rFonts w:ascii="Georgia" w:eastAsia="Times New Roman" w:hAnsi="Georgia" w:cs="Times New Roman"/>
          <w:b/>
          <w:bCs/>
          <w:color w:val="323A45"/>
          <w:sz w:val="36"/>
          <w:szCs w:val="36"/>
        </w:rPr>
        <w:lastRenderedPageBreak/>
        <w:t>Find your Maximum Annual Pension Rate (MAPR) amount</w:t>
      </w:r>
    </w:p>
    <w:p w14:paraId="31CDE3B7" w14:textId="77777777" w:rsidR="00EC03A7" w:rsidRPr="00EC03A7" w:rsidRDefault="00EC03A7" w:rsidP="00EC03A7">
      <w:pPr>
        <w:shd w:val="clear" w:color="auto" w:fill="FFFFFF"/>
        <w:spacing w:after="240"/>
        <w:rPr>
          <w:rFonts w:ascii="Source Sans Pro" w:eastAsia="Times New Roman" w:hAnsi="Source Sans Pro" w:cs="Times New Roman"/>
          <w:color w:val="323A45"/>
          <w:sz w:val="24"/>
          <w:szCs w:val="24"/>
        </w:rPr>
      </w:pPr>
      <w:r w:rsidRPr="00EC03A7">
        <w:rPr>
          <w:rFonts w:ascii="Source Sans Pro" w:eastAsia="Times New Roman" w:hAnsi="Source Sans Pro" w:cs="Times New Roman"/>
          <w:i/>
          <w:iCs/>
          <w:color w:val="323A45"/>
          <w:sz w:val="24"/>
          <w:szCs w:val="24"/>
        </w:rPr>
        <w:t>Date of cost-of-living increase: December 1, 2019</w:t>
      </w:r>
      <w:r w:rsidRPr="00EC03A7">
        <w:rPr>
          <w:rFonts w:ascii="Source Sans Pro" w:eastAsia="Times New Roman" w:hAnsi="Source Sans Pro" w:cs="Times New Roman"/>
          <w:color w:val="323A45"/>
          <w:sz w:val="24"/>
          <w:szCs w:val="24"/>
        </w:rPr>
        <w:br/>
      </w:r>
      <w:r w:rsidRPr="00EC03A7">
        <w:rPr>
          <w:rFonts w:ascii="Source Sans Pro" w:eastAsia="Times New Roman" w:hAnsi="Source Sans Pro" w:cs="Times New Roman"/>
          <w:i/>
          <w:iCs/>
          <w:color w:val="323A45"/>
          <w:sz w:val="24"/>
          <w:szCs w:val="24"/>
        </w:rPr>
        <w:t>Increase factor: 1.6%</w:t>
      </w:r>
      <w:r w:rsidRPr="00EC03A7">
        <w:rPr>
          <w:rFonts w:ascii="Source Sans Pro" w:eastAsia="Times New Roman" w:hAnsi="Source Sans Pro" w:cs="Times New Roman"/>
          <w:color w:val="323A45"/>
          <w:sz w:val="24"/>
          <w:szCs w:val="24"/>
        </w:rPr>
        <w:br/>
      </w:r>
      <w:r w:rsidRPr="00EC03A7">
        <w:rPr>
          <w:rFonts w:ascii="Source Sans Pro" w:eastAsia="Times New Roman" w:hAnsi="Source Sans Pro" w:cs="Times New Roman"/>
          <w:i/>
          <w:iCs/>
          <w:color w:val="323A45"/>
          <w:sz w:val="24"/>
          <w:szCs w:val="24"/>
        </w:rPr>
        <w:t>Standard Medicare deduction: Actual amount will be determined by SSA based on individual income.</w:t>
      </w:r>
    </w:p>
    <w:p w14:paraId="113967C8" w14:textId="77777777" w:rsidR="00EC03A7" w:rsidRPr="00EC03A7" w:rsidRDefault="00EC03A7" w:rsidP="00EC03A7">
      <w:pPr>
        <w:shd w:val="clear" w:color="auto" w:fill="FFFFFF"/>
        <w:spacing w:before="360" w:after="120"/>
        <w:outlineLvl w:val="2"/>
        <w:rPr>
          <w:rFonts w:ascii="Georgia" w:eastAsia="Times New Roman" w:hAnsi="Georgia" w:cs="Times New Roman"/>
          <w:b/>
          <w:bCs/>
          <w:color w:val="323A45"/>
          <w:sz w:val="27"/>
          <w:szCs w:val="27"/>
        </w:rPr>
      </w:pPr>
      <w:r w:rsidRPr="00EC03A7">
        <w:rPr>
          <w:rFonts w:ascii="Georgia" w:eastAsia="Times New Roman" w:hAnsi="Georgia" w:cs="Times New Roman"/>
          <w:b/>
          <w:bCs/>
          <w:color w:val="323A45"/>
          <w:sz w:val="27"/>
          <w:szCs w:val="27"/>
        </w:rPr>
        <w:t>For qualified surviving spouses with no dependents:</w:t>
      </w:r>
    </w:p>
    <w:tbl>
      <w:tblPr>
        <w:tblW w:w="10500" w:type="dxa"/>
        <w:shd w:val="clear" w:color="auto" w:fill="FFFFFF"/>
        <w:tblCellMar>
          <w:top w:w="15" w:type="dxa"/>
          <w:left w:w="15" w:type="dxa"/>
          <w:bottom w:w="15" w:type="dxa"/>
          <w:right w:w="15" w:type="dxa"/>
        </w:tblCellMar>
        <w:tblLook w:val="04A0" w:firstRow="1" w:lastRow="0" w:firstColumn="1" w:lastColumn="0" w:noHBand="0" w:noVBand="1"/>
      </w:tblPr>
      <w:tblGrid>
        <w:gridCol w:w="7720"/>
        <w:gridCol w:w="2780"/>
      </w:tblGrid>
      <w:tr w:rsidR="00EC03A7" w:rsidRPr="00EC03A7" w14:paraId="4E47CBE3" w14:textId="77777777" w:rsidTr="00EC03A7">
        <w:trPr>
          <w:tblHeader/>
        </w:trPr>
        <w:tc>
          <w:tcPr>
            <w:tcW w:w="0" w:type="auto"/>
            <w:tcBorders>
              <w:top w:val="single" w:sz="6" w:space="0" w:color="5B616B"/>
              <w:left w:val="single" w:sz="6" w:space="0" w:color="5B616B"/>
              <w:bottom w:val="single" w:sz="6" w:space="0" w:color="5B616B"/>
              <w:right w:val="single" w:sz="6" w:space="0" w:color="5B616B"/>
            </w:tcBorders>
            <w:shd w:val="clear" w:color="auto" w:fill="F1F1F1"/>
            <w:vAlign w:val="center"/>
            <w:hideMark/>
          </w:tcPr>
          <w:p w14:paraId="624F1FD2" w14:textId="77777777" w:rsidR="00EC03A7" w:rsidRPr="00EC03A7" w:rsidRDefault="00EC03A7" w:rsidP="00EC03A7">
            <w:pPr>
              <w:spacing w:before="480" w:after="480"/>
              <w:rPr>
                <w:rFonts w:ascii="Source Sans Pro" w:eastAsia="Times New Roman" w:hAnsi="Source Sans Pro" w:cs="Times New Roman"/>
                <w:b/>
                <w:bCs/>
                <w:color w:val="323A45"/>
                <w:sz w:val="24"/>
                <w:szCs w:val="24"/>
              </w:rPr>
            </w:pPr>
            <w:r w:rsidRPr="00EC03A7">
              <w:rPr>
                <w:rFonts w:ascii="Source Sans Pro" w:eastAsia="Times New Roman" w:hAnsi="Source Sans Pro" w:cs="Times New Roman"/>
                <w:b/>
                <w:bCs/>
                <w:color w:val="323A45"/>
                <w:sz w:val="24"/>
                <w:szCs w:val="24"/>
              </w:rPr>
              <w:t>If you have no dependents and…</w:t>
            </w:r>
          </w:p>
        </w:tc>
        <w:tc>
          <w:tcPr>
            <w:tcW w:w="0" w:type="auto"/>
            <w:tcBorders>
              <w:top w:val="single" w:sz="6" w:space="0" w:color="5B616B"/>
              <w:left w:val="single" w:sz="6" w:space="0" w:color="5B616B"/>
              <w:bottom w:val="single" w:sz="6" w:space="0" w:color="5B616B"/>
              <w:right w:val="single" w:sz="6" w:space="0" w:color="5B616B"/>
            </w:tcBorders>
            <w:shd w:val="clear" w:color="auto" w:fill="F1F1F1"/>
            <w:vAlign w:val="center"/>
            <w:hideMark/>
          </w:tcPr>
          <w:p w14:paraId="1084B606" w14:textId="77777777" w:rsidR="00EC03A7" w:rsidRPr="00EC03A7" w:rsidRDefault="00EC03A7" w:rsidP="00EC03A7">
            <w:pPr>
              <w:spacing w:before="480" w:after="480"/>
              <w:rPr>
                <w:rFonts w:ascii="Source Sans Pro" w:eastAsia="Times New Roman" w:hAnsi="Source Sans Pro" w:cs="Times New Roman"/>
                <w:b/>
                <w:bCs/>
                <w:color w:val="323A45"/>
                <w:sz w:val="24"/>
                <w:szCs w:val="24"/>
              </w:rPr>
            </w:pPr>
            <w:r w:rsidRPr="00EC03A7">
              <w:rPr>
                <w:rFonts w:ascii="Source Sans Pro" w:eastAsia="Times New Roman" w:hAnsi="Source Sans Pro" w:cs="Times New Roman"/>
                <w:b/>
                <w:bCs/>
                <w:color w:val="323A45"/>
                <w:sz w:val="24"/>
                <w:szCs w:val="24"/>
              </w:rPr>
              <w:t>Your MAPR amount is:</w:t>
            </w:r>
          </w:p>
        </w:tc>
      </w:tr>
      <w:tr w:rsidR="00EC03A7" w:rsidRPr="00EC03A7" w14:paraId="1F03A8A1" w14:textId="77777777" w:rsidTr="00EC03A7">
        <w:tc>
          <w:tcPr>
            <w:tcW w:w="0" w:type="auto"/>
            <w:tcBorders>
              <w:top w:val="single" w:sz="6" w:space="0" w:color="5B616B"/>
              <w:left w:val="single" w:sz="6" w:space="0" w:color="5B616B"/>
              <w:bottom w:val="single" w:sz="6" w:space="0" w:color="5B616B"/>
              <w:right w:val="single" w:sz="6" w:space="0" w:color="5B616B"/>
            </w:tcBorders>
            <w:shd w:val="clear" w:color="auto" w:fill="FFFFFF"/>
            <w:vAlign w:val="center"/>
            <w:hideMark/>
          </w:tcPr>
          <w:p w14:paraId="336596C9" w14:textId="77777777" w:rsidR="00EC03A7" w:rsidRPr="00EC03A7" w:rsidRDefault="00EC03A7" w:rsidP="00EC03A7">
            <w:pPr>
              <w:spacing w:before="480" w:after="480"/>
              <w:rPr>
                <w:rFonts w:ascii="Source Sans Pro" w:eastAsia="Times New Roman" w:hAnsi="Source Sans Pro" w:cs="Times New Roman"/>
                <w:color w:val="323A45"/>
                <w:sz w:val="24"/>
                <w:szCs w:val="24"/>
              </w:rPr>
            </w:pPr>
            <w:r w:rsidRPr="00EC03A7">
              <w:rPr>
                <w:rFonts w:ascii="Source Sans Pro" w:eastAsia="Times New Roman" w:hAnsi="Source Sans Pro" w:cs="Times New Roman"/>
                <w:color w:val="323A45"/>
                <w:sz w:val="24"/>
                <w:szCs w:val="24"/>
              </w:rPr>
              <w:t>You don’t qualify for Housebound or Aid and Attendance benefits</w:t>
            </w:r>
          </w:p>
        </w:tc>
        <w:tc>
          <w:tcPr>
            <w:tcW w:w="0" w:type="auto"/>
            <w:tcBorders>
              <w:top w:val="single" w:sz="6" w:space="0" w:color="5B616B"/>
              <w:left w:val="single" w:sz="6" w:space="0" w:color="5B616B"/>
              <w:bottom w:val="single" w:sz="6" w:space="0" w:color="5B616B"/>
              <w:right w:val="single" w:sz="6" w:space="0" w:color="5B616B"/>
            </w:tcBorders>
            <w:shd w:val="clear" w:color="auto" w:fill="FFFFFF"/>
            <w:vAlign w:val="center"/>
            <w:hideMark/>
          </w:tcPr>
          <w:p w14:paraId="5B567642" w14:textId="77777777" w:rsidR="00EC03A7" w:rsidRPr="00EC03A7" w:rsidRDefault="00EC03A7" w:rsidP="00EC03A7">
            <w:pPr>
              <w:spacing w:before="480" w:after="480"/>
              <w:rPr>
                <w:rFonts w:ascii="Source Sans Pro" w:eastAsia="Times New Roman" w:hAnsi="Source Sans Pro" w:cs="Times New Roman"/>
                <w:color w:val="323A45"/>
                <w:sz w:val="24"/>
                <w:szCs w:val="24"/>
              </w:rPr>
            </w:pPr>
            <w:r w:rsidRPr="00EC03A7">
              <w:rPr>
                <w:rFonts w:ascii="Source Sans Pro" w:eastAsia="Times New Roman" w:hAnsi="Source Sans Pro" w:cs="Times New Roman"/>
                <w:color w:val="323A45"/>
                <w:sz w:val="24"/>
                <w:szCs w:val="24"/>
              </w:rPr>
              <w:t>$9,224</w:t>
            </w:r>
          </w:p>
        </w:tc>
      </w:tr>
    </w:tbl>
    <w:p w14:paraId="1DE522D8" w14:textId="77777777" w:rsidR="00EC03A7" w:rsidRDefault="00EC03A7" w:rsidP="00EC03A7">
      <w:pPr>
        <w:shd w:val="clear" w:color="auto" w:fill="FFFFFF"/>
        <w:spacing w:after="240"/>
        <w:rPr>
          <w:rFonts w:ascii="Source Sans Pro" w:eastAsia="Times New Roman" w:hAnsi="Source Sans Pro" w:cs="Times New Roman"/>
          <w:b/>
          <w:bCs/>
          <w:color w:val="323A45"/>
          <w:sz w:val="24"/>
          <w:szCs w:val="24"/>
        </w:rPr>
      </w:pPr>
    </w:p>
    <w:p w14:paraId="1C6A0A9D" w14:textId="757B7FDC" w:rsidR="00EC03A7" w:rsidRPr="00EC03A7" w:rsidRDefault="00EC03A7" w:rsidP="00EC03A7">
      <w:pPr>
        <w:shd w:val="clear" w:color="auto" w:fill="FFFFFF"/>
        <w:spacing w:after="240"/>
        <w:rPr>
          <w:rFonts w:ascii="Source Sans Pro" w:eastAsia="Times New Roman" w:hAnsi="Source Sans Pro" w:cs="Times New Roman"/>
          <w:color w:val="323A45"/>
          <w:sz w:val="24"/>
          <w:szCs w:val="24"/>
        </w:rPr>
      </w:pPr>
      <w:r w:rsidRPr="00EC03A7">
        <w:rPr>
          <w:rFonts w:ascii="Source Sans Pro" w:eastAsia="Times New Roman" w:hAnsi="Source Sans Pro" w:cs="Times New Roman"/>
          <w:b/>
          <w:bCs/>
          <w:color w:val="323A45"/>
          <w:sz w:val="24"/>
          <w:szCs w:val="24"/>
        </w:rPr>
        <w:t>Notes:</w:t>
      </w:r>
    </w:p>
    <w:p w14:paraId="6694F5BF" w14:textId="77777777" w:rsidR="00EC03A7" w:rsidRPr="00EC03A7" w:rsidRDefault="00EC03A7" w:rsidP="00EC03A7">
      <w:pPr>
        <w:numPr>
          <w:ilvl w:val="0"/>
          <w:numId w:val="3"/>
        </w:numPr>
        <w:shd w:val="clear" w:color="auto" w:fill="FFFFFF"/>
        <w:spacing w:before="100" w:beforeAutospacing="1"/>
        <w:rPr>
          <w:rFonts w:ascii="Source Sans Pro" w:eastAsia="Times New Roman" w:hAnsi="Source Sans Pro" w:cs="Times New Roman"/>
          <w:color w:val="323A45"/>
          <w:sz w:val="24"/>
          <w:szCs w:val="24"/>
        </w:rPr>
      </w:pPr>
      <w:r w:rsidRPr="00EC03A7">
        <w:rPr>
          <w:rFonts w:ascii="Source Sans Pro" w:eastAsia="Times New Roman" w:hAnsi="Source Sans Pro" w:cs="Times New Roman"/>
          <w:b/>
          <w:bCs/>
          <w:color w:val="323A45"/>
          <w:sz w:val="24"/>
          <w:szCs w:val="24"/>
        </w:rPr>
        <w:t>If you have medical expenses</w:t>
      </w:r>
      <w:r w:rsidRPr="00EC03A7">
        <w:rPr>
          <w:rFonts w:ascii="Source Sans Pro" w:eastAsia="Times New Roman" w:hAnsi="Source Sans Pro" w:cs="Times New Roman"/>
          <w:color w:val="323A45"/>
          <w:sz w:val="24"/>
          <w:szCs w:val="24"/>
        </w:rPr>
        <w:t>, you may deduct only the amount that’s above 5% of your MAPR amount ($461 for a surviving spouse with no dependent child).</w:t>
      </w:r>
    </w:p>
    <w:p w14:paraId="7BA48696" w14:textId="77777777" w:rsidR="005E1B8E" w:rsidRDefault="005E1B8E"/>
    <w:sectPr w:rsidR="005E1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31E2C"/>
    <w:multiLevelType w:val="multilevel"/>
    <w:tmpl w:val="45E006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2F57D2"/>
    <w:multiLevelType w:val="multilevel"/>
    <w:tmpl w:val="DC94B7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9C2232"/>
    <w:multiLevelType w:val="multilevel"/>
    <w:tmpl w:val="FBE075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3A7"/>
    <w:rsid w:val="00190B7F"/>
    <w:rsid w:val="005E1B8E"/>
    <w:rsid w:val="00EC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C4EE"/>
  <w15:chartTrackingRefBased/>
  <w15:docId w15:val="{929DC078-C98C-4F9F-ABD3-8777B8E3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03A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03A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03A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3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03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03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C03A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C03A7"/>
    <w:rPr>
      <w:b/>
      <w:bCs/>
    </w:rPr>
  </w:style>
  <w:style w:type="character" w:styleId="Emphasis">
    <w:name w:val="Emphasis"/>
    <w:basedOn w:val="DefaultParagraphFont"/>
    <w:uiPriority w:val="20"/>
    <w:qFormat/>
    <w:rsid w:val="00EC03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918124">
      <w:bodyDiv w:val="1"/>
      <w:marLeft w:val="0"/>
      <w:marRight w:val="0"/>
      <w:marTop w:val="0"/>
      <w:marBottom w:val="0"/>
      <w:divBdr>
        <w:top w:val="none" w:sz="0" w:space="0" w:color="auto"/>
        <w:left w:val="none" w:sz="0" w:space="0" w:color="auto"/>
        <w:bottom w:val="none" w:sz="0" w:space="0" w:color="auto"/>
        <w:right w:val="none" w:sz="0" w:space="0" w:color="auto"/>
      </w:divBdr>
      <w:divsChild>
        <w:div w:id="1126193465">
          <w:marLeft w:val="0"/>
          <w:marRight w:val="0"/>
          <w:marTop w:val="0"/>
          <w:marBottom w:val="0"/>
          <w:divBdr>
            <w:top w:val="none" w:sz="0" w:space="0" w:color="auto"/>
            <w:left w:val="none" w:sz="0" w:space="0" w:color="auto"/>
            <w:bottom w:val="none" w:sz="0" w:space="0" w:color="auto"/>
            <w:right w:val="none" w:sz="0" w:space="0" w:color="auto"/>
          </w:divBdr>
        </w:div>
        <w:div w:id="1008558858">
          <w:marLeft w:val="0"/>
          <w:marRight w:val="0"/>
          <w:marTop w:val="0"/>
          <w:marBottom w:val="0"/>
          <w:divBdr>
            <w:top w:val="none" w:sz="0" w:space="0" w:color="auto"/>
            <w:left w:val="none" w:sz="0" w:space="0" w:color="auto"/>
            <w:bottom w:val="none" w:sz="0" w:space="0" w:color="auto"/>
            <w:right w:val="none" w:sz="0" w:space="0" w:color="auto"/>
          </w:divBdr>
        </w:div>
        <w:div w:id="689141129">
          <w:marLeft w:val="0"/>
          <w:marRight w:val="0"/>
          <w:marTop w:val="0"/>
          <w:marBottom w:val="0"/>
          <w:divBdr>
            <w:top w:val="none" w:sz="0" w:space="0" w:color="auto"/>
            <w:left w:val="none" w:sz="0" w:space="0" w:color="auto"/>
            <w:bottom w:val="none" w:sz="0" w:space="0" w:color="auto"/>
            <w:right w:val="none" w:sz="0" w:space="0" w:color="auto"/>
          </w:divBdr>
          <w:divsChild>
            <w:div w:id="781538498">
              <w:marLeft w:val="0"/>
              <w:marRight w:val="0"/>
              <w:marTop w:val="0"/>
              <w:marBottom w:val="0"/>
              <w:divBdr>
                <w:top w:val="none" w:sz="0" w:space="0" w:color="auto"/>
                <w:left w:val="none" w:sz="0" w:space="0" w:color="auto"/>
                <w:bottom w:val="none" w:sz="0" w:space="0" w:color="auto"/>
                <w:right w:val="none" w:sz="0" w:space="0" w:color="auto"/>
              </w:divBdr>
              <w:divsChild>
                <w:div w:id="707877055">
                  <w:marLeft w:val="0"/>
                  <w:marRight w:val="0"/>
                  <w:marTop w:val="0"/>
                  <w:marBottom w:val="0"/>
                  <w:divBdr>
                    <w:top w:val="none" w:sz="0" w:space="0" w:color="auto"/>
                    <w:left w:val="none" w:sz="0" w:space="0" w:color="auto"/>
                    <w:bottom w:val="none" w:sz="0" w:space="0" w:color="auto"/>
                    <w:right w:val="none" w:sz="0" w:space="0" w:color="auto"/>
                  </w:divBdr>
                  <w:divsChild>
                    <w:div w:id="2877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888">
          <w:marLeft w:val="0"/>
          <w:marRight w:val="0"/>
          <w:marTop w:val="0"/>
          <w:marBottom w:val="0"/>
          <w:divBdr>
            <w:top w:val="none" w:sz="0" w:space="0" w:color="auto"/>
            <w:left w:val="none" w:sz="0" w:space="0" w:color="auto"/>
            <w:bottom w:val="none" w:sz="0" w:space="0" w:color="auto"/>
            <w:right w:val="none" w:sz="0" w:space="0" w:color="auto"/>
          </w:divBdr>
          <w:divsChild>
            <w:div w:id="561906855">
              <w:marLeft w:val="0"/>
              <w:marRight w:val="0"/>
              <w:marTop w:val="0"/>
              <w:marBottom w:val="0"/>
              <w:divBdr>
                <w:top w:val="none" w:sz="0" w:space="0" w:color="auto"/>
                <w:left w:val="none" w:sz="0" w:space="0" w:color="auto"/>
                <w:bottom w:val="none" w:sz="0" w:space="0" w:color="auto"/>
                <w:right w:val="none" w:sz="0" w:space="0" w:color="auto"/>
              </w:divBdr>
              <w:divsChild>
                <w:div w:id="98647035">
                  <w:marLeft w:val="0"/>
                  <w:marRight w:val="0"/>
                  <w:marTop w:val="0"/>
                  <w:marBottom w:val="0"/>
                  <w:divBdr>
                    <w:top w:val="none" w:sz="0" w:space="0" w:color="auto"/>
                    <w:left w:val="none" w:sz="0" w:space="0" w:color="auto"/>
                    <w:bottom w:val="none" w:sz="0" w:space="0" w:color="auto"/>
                    <w:right w:val="none" w:sz="0" w:space="0" w:color="auto"/>
                  </w:divBdr>
                  <w:divsChild>
                    <w:div w:id="11677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9880">
          <w:marLeft w:val="0"/>
          <w:marRight w:val="0"/>
          <w:marTop w:val="0"/>
          <w:marBottom w:val="0"/>
          <w:divBdr>
            <w:top w:val="none" w:sz="0" w:space="0" w:color="auto"/>
            <w:left w:val="none" w:sz="0" w:space="0" w:color="auto"/>
            <w:bottom w:val="none" w:sz="0" w:space="0" w:color="auto"/>
            <w:right w:val="none" w:sz="0" w:space="0" w:color="auto"/>
          </w:divBdr>
          <w:divsChild>
            <w:div w:id="1786266312">
              <w:marLeft w:val="0"/>
              <w:marRight w:val="0"/>
              <w:marTop w:val="0"/>
              <w:marBottom w:val="0"/>
              <w:divBdr>
                <w:top w:val="none" w:sz="0" w:space="0" w:color="auto"/>
                <w:left w:val="none" w:sz="0" w:space="0" w:color="auto"/>
                <w:bottom w:val="none" w:sz="0" w:space="0" w:color="auto"/>
                <w:right w:val="none" w:sz="0" w:space="0" w:color="auto"/>
              </w:divBdr>
              <w:divsChild>
                <w:div w:id="1667829353">
                  <w:marLeft w:val="0"/>
                  <w:marRight w:val="0"/>
                  <w:marTop w:val="0"/>
                  <w:marBottom w:val="0"/>
                  <w:divBdr>
                    <w:top w:val="none" w:sz="0" w:space="0" w:color="auto"/>
                    <w:left w:val="none" w:sz="0" w:space="0" w:color="auto"/>
                    <w:bottom w:val="none" w:sz="0" w:space="0" w:color="auto"/>
                    <w:right w:val="none" w:sz="0" w:space="0" w:color="auto"/>
                  </w:divBdr>
                  <w:divsChild>
                    <w:div w:id="18866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699875">
          <w:marLeft w:val="0"/>
          <w:marRight w:val="0"/>
          <w:marTop w:val="0"/>
          <w:marBottom w:val="0"/>
          <w:divBdr>
            <w:top w:val="none" w:sz="0" w:space="0" w:color="auto"/>
            <w:left w:val="none" w:sz="0" w:space="0" w:color="auto"/>
            <w:bottom w:val="none" w:sz="0" w:space="0" w:color="auto"/>
            <w:right w:val="none" w:sz="0" w:space="0" w:color="auto"/>
          </w:divBdr>
        </w:div>
        <w:div w:id="189952148">
          <w:marLeft w:val="0"/>
          <w:marRight w:val="0"/>
          <w:marTop w:val="0"/>
          <w:marBottom w:val="0"/>
          <w:divBdr>
            <w:top w:val="none" w:sz="0" w:space="0" w:color="auto"/>
            <w:left w:val="none" w:sz="0" w:space="0" w:color="auto"/>
            <w:bottom w:val="none" w:sz="0" w:space="0" w:color="auto"/>
            <w:right w:val="none" w:sz="0" w:space="0" w:color="auto"/>
          </w:divBdr>
        </w:div>
        <w:div w:id="880674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9400FC2</Template>
  <TotalTime>12</TotalTime>
  <Pages>2</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Souder, Ray</dc:creator>
  <cp:keywords/>
  <dc:description/>
  <cp:lastModifiedBy>Souder, Ray</cp:lastModifiedBy>
  <cp:revision>2</cp:revision>
  <dcterms:created xsi:type="dcterms:W3CDTF">2020-02-26T20:03:00Z</dcterms:created>
  <dcterms:modified xsi:type="dcterms:W3CDTF">2020-02-27T13:07:00Z</dcterms:modified>
</cp:coreProperties>
</file>